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1" distT="0" distB="0" distL="114300" distR="120650" simplePos="0" locked="0" layoutInCell="1" allowOverlap="1" relativeHeight="2">
            <wp:simplePos x="0" y="0"/>
            <wp:positionH relativeFrom="column">
              <wp:posOffset>6857365</wp:posOffset>
            </wp:positionH>
            <wp:positionV relativeFrom="paragraph">
              <wp:posOffset>-88900</wp:posOffset>
            </wp:positionV>
            <wp:extent cx="1802765" cy="937260"/>
            <wp:effectExtent l="0" t="0" r="0" b="0"/>
            <wp:wrapNone/>
            <wp:docPr id="1" name="Grafi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3" descr=""/>
                    <pic:cNvPicPr>
                      <a:picLocks noChangeAspect="1" noChangeArrowheads="1"/>
                    </pic:cNvPicPr>
                  </pic:nvPicPr>
                  <pic:blipFill>
                    <a:blip r:embed="rId2"/>
                    <a:stretch>
                      <a:fillRect/>
                    </a:stretch>
                  </pic:blipFill>
                  <pic:spPr bwMode="auto">
                    <a:xfrm>
                      <a:off x="0" y="0"/>
                      <a:ext cx="1802765" cy="937260"/>
                    </a:xfrm>
                    <a:prstGeom prst="rect">
                      <a:avLst/>
                    </a:prstGeom>
                  </pic:spPr>
                </pic:pic>
              </a:graphicData>
            </a:graphic>
          </wp:anchor>
        </w:drawing>
        <w:drawing>
          <wp:anchor behindDoc="1" distT="0" distB="0" distL="114300" distR="114300" simplePos="0" locked="0" layoutInCell="1" allowOverlap="1" relativeHeight="3">
            <wp:simplePos x="0" y="0"/>
            <wp:positionH relativeFrom="column">
              <wp:posOffset>8756650</wp:posOffset>
            </wp:positionH>
            <wp:positionV relativeFrom="paragraph">
              <wp:posOffset>-179070</wp:posOffset>
            </wp:positionV>
            <wp:extent cx="923290" cy="1036955"/>
            <wp:effectExtent l="0" t="0" r="0" b="0"/>
            <wp:wrapNone/>
            <wp:docPr id="2" name="Grafi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2" descr=""/>
                    <pic:cNvPicPr>
                      <a:picLocks noChangeAspect="1" noChangeArrowheads="1"/>
                    </pic:cNvPicPr>
                  </pic:nvPicPr>
                  <pic:blipFill>
                    <a:blip r:embed="rId3"/>
                    <a:stretch>
                      <a:fillRect/>
                    </a:stretch>
                  </pic:blipFill>
                  <pic:spPr bwMode="auto">
                    <a:xfrm>
                      <a:off x="0" y="0"/>
                      <a:ext cx="923290" cy="1036955"/>
                    </a:xfrm>
                    <a:prstGeom prst="rect">
                      <a:avLst/>
                    </a:prstGeom>
                  </pic:spPr>
                </pic:pic>
              </a:graphicData>
            </a:graphic>
          </wp:anchor>
        </w:drawing>
      </w:r>
      <w:r>
        <w:rPr>
          <w:rFonts w:cs="Arial Black" w:ascii="Arial Black" w:hAnsi="Arial Black"/>
          <w:sz w:val="40"/>
          <w:szCs w:val="40"/>
        </w:rPr>
        <w:t>B</w:t>
      </w:r>
      <w:r>
        <w:rPr>
          <w:rFonts w:cs="Arial Black" w:ascii="Arial Black" w:hAnsi="Arial Black"/>
          <w:sz w:val="40"/>
          <w:szCs w:val="40"/>
        </w:rPr>
        <w:t xml:space="preserve">erliner DTFB Mini-Challenger 2018       </w:t>
      </w:r>
      <w:r>
        <w:rPr/>
        <w:drawing>
          <wp:inline distT="0" distB="0" distL="0" distR="0">
            <wp:extent cx="935990" cy="939165"/>
            <wp:effectExtent l="0" t="0" r="0" b="0"/>
            <wp:docPr id="3" name="Grafik 3" descr="C:\Users\Lothar\Desktop\TK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C:\Users\Lothar\Desktop\TKK_logo.png"/>
                    <pic:cNvPicPr>
                      <a:picLocks noChangeAspect="1" noChangeArrowheads="1"/>
                    </pic:cNvPicPr>
                  </pic:nvPicPr>
                  <pic:blipFill>
                    <a:blip r:embed="rId4"/>
                    <a:stretch>
                      <a:fillRect/>
                    </a:stretch>
                  </pic:blipFill>
                  <pic:spPr bwMode="auto">
                    <a:xfrm>
                      <a:off x="0" y="0"/>
                      <a:ext cx="935990" cy="939165"/>
                    </a:xfrm>
                    <a:prstGeom prst="rect">
                      <a:avLst/>
                    </a:prstGeom>
                  </pic:spPr>
                </pic:pic>
              </a:graphicData>
            </a:graphic>
          </wp:inline>
        </w:drawing>
      </w:r>
    </w:p>
    <w:p>
      <w:pPr>
        <w:pStyle w:val="Normal"/>
        <w:tabs>
          <w:tab w:val="left" w:pos="5812" w:leader="none"/>
        </w:tabs>
        <w:rPr/>
      </w:pPr>
      <w:r>
        <w:rPr/>
      </w:r>
    </w:p>
    <w:p>
      <w:pPr>
        <w:pStyle w:val="Normal"/>
        <w:tabs>
          <w:tab w:val="left" w:pos="5812" w:leader="none"/>
        </w:tabs>
        <w:rPr/>
      </w:pPr>
      <w:r>
        <w:rPr>
          <w:rFonts w:cs="Arial" w:ascii="Arial" w:hAnsi="Arial"/>
          <w:b/>
          <w:i/>
          <w:sz w:val="28"/>
          <w:szCs w:val="28"/>
        </w:rPr>
        <w:t>Samst</w:t>
      </w:r>
      <w:r>
        <w:rPr>
          <w:rFonts w:cs="Arial" w:ascii="Arial" w:hAnsi="Arial"/>
          <w:b/>
          <w:i/>
          <w:sz w:val="28"/>
          <w:szCs w:val="28"/>
        </w:rPr>
        <w:t xml:space="preserve">ag, </w:t>
      </w:r>
      <w:r>
        <w:rPr>
          <w:rFonts w:cs="Arial" w:ascii="Arial" w:hAnsi="Arial"/>
          <w:b/>
          <w:i/>
          <w:sz w:val="28"/>
          <w:szCs w:val="28"/>
        </w:rPr>
        <w:t>22</w:t>
      </w:r>
      <w:r>
        <w:rPr>
          <w:rFonts w:cs="Arial" w:ascii="Arial" w:hAnsi="Arial"/>
          <w:b/>
          <w:i/>
          <w:sz w:val="28"/>
          <w:szCs w:val="28"/>
        </w:rPr>
        <w:t>.0</w:t>
      </w:r>
      <w:r>
        <w:rPr>
          <w:rFonts w:cs="Arial" w:ascii="Arial" w:hAnsi="Arial"/>
          <w:b/>
          <w:i/>
          <w:sz w:val="28"/>
          <w:szCs w:val="28"/>
        </w:rPr>
        <w:t>9</w:t>
      </w:r>
      <w:r>
        <w:rPr>
          <w:rFonts w:cs="Arial" w:ascii="Arial" w:hAnsi="Arial"/>
          <w:b/>
          <w:i/>
          <w:sz w:val="28"/>
          <w:szCs w:val="28"/>
        </w:rPr>
        <w:t>.2018</w:t>
      </w:r>
    </w:p>
    <w:p>
      <w:pPr>
        <w:pStyle w:val="Normal"/>
        <w:rPr>
          <w:rFonts w:ascii="Arial" w:hAnsi="Arial" w:cs="Arial"/>
          <w:b/>
          <w:b/>
          <w:i/>
          <w:i/>
          <w:sz w:val="28"/>
          <w:szCs w:val="28"/>
          <w:u w:val="single"/>
        </w:rPr>
      </w:pPr>
      <w:r>
        <w:rPr>
          <w:rFonts w:cs="Arial" w:ascii="Arial" w:hAnsi="Arial"/>
          <w:b/>
          <w:i/>
          <w:sz w:val="28"/>
          <w:szCs w:val="28"/>
          <w:u w:val="single"/>
        </w:rPr>
      </w:r>
    </w:p>
    <w:p>
      <w:pPr>
        <w:pStyle w:val="Normal"/>
        <w:tabs>
          <w:tab w:val="left" w:pos="709" w:leader="none"/>
          <w:tab w:val="left" w:pos="2127" w:leader="none"/>
          <w:tab w:val="left" w:pos="5529" w:leader="none"/>
        </w:tabs>
        <w:rPr/>
      </w:pPr>
      <w:r>
        <w:rPr>
          <w:rFonts w:cs="Arial" w:ascii="Arial" w:hAnsi="Arial"/>
          <w:b/>
          <w:color w:val="BFBFBF"/>
          <w:sz w:val="28"/>
          <w:szCs w:val="28"/>
        </w:rPr>
        <w:t>19</w:t>
      </w:r>
      <w:r>
        <w:rPr>
          <w:rFonts w:cs="Arial" w:ascii="Arial" w:hAnsi="Arial"/>
          <w:b/>
          <w:color w:val="BFBFBF"/>
          <w:sz w:val="28"/>
          <w:szCs w:val="28"/>
          <w:vertAlign w:val="superscript"/>
        </w:rPr>
        <w:t>00</w:t>
      </w:r>
      <w:r>
        <w:rPr>
          <w:rFonts w:cs="Arial" w:ascii="Arial" w:hAnsi="Arial"/>
          <w:b/>
          <w:color w:val="BFBFBF"/>
          <w:sz w:val="28"/>
          <w:szCs w:val="28"/>
        </w:rPr>
        <w:t xml:space="preserve">  Einlass </w:t>
      </w:r>
    </w:p>
    <w:p>
      <w:pPr>
        <w:pStyle w:val="Normal"/>
        <w:tabs>
          <w:tab w:val="left" w:pos="709" w:leader="none"/>
          <w:tab w:val="left" w:pos="2127" w:leader="none"/>
          <w:tab w:val="left" w:pos="5529" w:leader="none"/>
        </w:tabs>
        <w:rPr/>
      </w:pPr>
      <w:r>
        <w:rPr>
          <w:rFonts w:cs="Arial" w:ascii="Arial" w:hAnsi="Arial"/>
          <w:b/>
          <w:sz w:val="28"/>
          <w:szCs w:val="28"/>
        </w:rPr>
        <w:t>20</w:t>
      </w:r>
      <w:r>
        <w:rPr>
          <w:rFonts w:cs="Arial" w:ascii="Arial" w:hAnsi="Arial"/>
          <w:b/>
          <w:sz w:val="28"/>
          <w:szCs w:val="28"/>
          <w:vertAlign w:val="superscript"/>
        </w:rPr>
        <w:t>00</w:t>
      </w:r>
      <w:r>
        <w:rPr>
          <w:rFonts w:cs="Arial" w:ascii="Arial" w:hAnsi="Arial"/>
          <w:b/>
          <w:sz w:val="28"/>
          <w:szCs w:val="28"/>
        </w:rPr>
        <w:t xml:space="preserve">  Offenes Doppel</w:t>
      </w:r>
    </w:p>
    <w:p>
      <w:pPr>
        <w:pStyle w:val="Normal"/>
        <w:tabs>
          <w:tab w:val="left" w:pos="709" w:leader="none"/>
          <w:tab w:val="left" w:pos="2127" w:leader="none"/>
          <w:tab w:val="left" w:pos="5529" w:leader="none"/>
        </w:tabs>
        <w:rPr/>
      </w:pPr>
      <w:r>
        <w:rPr/>
      </w:r>
    </w:p>
    <w:p>
      <w:pPr>
        <w:pStyle w:val="Normal"/>
        <w:tabs>
          <w:tab w:val="left" w:pos="2127" w:leader="none"/>
        </w:tabs>
        <w:rPr/>
      </w:pPr>
      <w:r>
        <w:rPr>
          <w:rFonts w:cs="Arial" w:ascii="Arial" w:hAnsi="Arial"/>
          <w:b/>
          <w:sz w:val="24"/>
          <w:szCs w:val="24"/>
          <w:u w:val="single"/>
          <w:lang w:eastAsia="de-DE"/>
        </w:rPr>
        <w:t xml:space="preserve">                                                       </w:t>
      </w:r>
      <w:r>
        <w:rPr>
          <w:rFonts w:cs="Arial" w:ascii="Arial" w:hAnsi="Arial"/>
          <w:b/>
          <w:sz w:val="24"/>
          <w:szCs w:val="24"/>
          <w:lang w:eastAsia="de-DE"/>
        </w:rPr>
        <w:t xml:space="preserve">                       </w:t>
      </w:r>
      <w:r>
        <w:rPr>
          <w:rFonts w:cs="Arial" w:ascii="Arial" w:hAnsi="Arial"/>
          <w:b/>
          <w:sz w:val="24"/>
          <w:szCs w:val="24"/>
          <w:u w:val="single"/>
          <w:lang w:eastAsia="de-DE"/>
        </w:rPr>
        <w:t xml:space="preserve">                                                         </w:t>
      </w:r>
    </w:p>
    <w:p>
      <w:pPr>
        <w:pStyle w:val="Normal"/>
        <w:tabs>
          <w:tab w:val="left" w:pos="2127" w:leader="none"/>
        </w:tabs>
        <w:rPr/>
      </w:pPr>
      <w:r>
        <w:rPr/>
      </w:r>
    </w:p>
    <w:p>
      <w:pPr>
        <w:pStyle w:val="Normal"/>
        <w:tabs>
          <w:tab w:val="left" w:pos="1985" w:leader="none"/>
        </w:tabs>
        <w:spacing w:lineRule="auto" w:line="360"/>
        <w:rPr/>
      </w:pPr>
      <w:r>
        <w:rPr>
          <w:b/>
          <w:sz w:val="22"/>
          <w:szCs w:val="22"/>
        </w:rPr>
        <w:t xml:space="preserve">Ort: </w:t>
        <w:tab/>
        <w:t>Tante Käthe; Bernauer Str. 63-64, 13355 Berlin; tante-kaethe.com</w:t>
      </w:r>
    </w:p>
    <w:p>
      <w:pPr>
        <w:pStyle w:val="Normal"/>
        <w:tabs>
          <w:tab w:val="left" w:pos="1985" w:leader="none"/>
        </w:tabs>
        <w:spacing w:lineRule="auto" w:line="360"/>
        <w:jc w:val="both"/>
        <w:rPr/>
      </w:pPr>
      <w:r>
        <w:rPr>
          <w:b/>
          <w:sz w:val="22"/>
          <w:szCs w:val="22"/>
        </w:rPr>
        <w:t xml:space="preserve">Tische: </w:t>
        <w:tab/>
        <w:t xml:space="preserve">5x Leonhart Pro Tournament, 2x Lettner, 1x Ullrich P4P, 1x Ullrich Beast </w:t>
      </w:r>
      <w:r>
        <w:rPr>
          <w:sz w:val="22"/>
          <w:szCs w:val="22"/>
        </w:rPr>
        <w:tab/>
      </w:r>
    </w:p>
    <w:p>
      <w:pPr>
        <w:pStyle w:val="Normal"/>
        <w:tabs>
          <w:tab w:val="left" w:pos="1985" w:leader="none"/>
        </w:tabs>
        <w:spacing w:lineRule="auto" w:line="360"/>
        <w:jc w:val="both"/>
        <w:rPr/>
      </w:pPr>
      <w:r>
        <w:rPr>
          <w:b/>
          <w:sz w:val="22"/>
          <w:szCs w:val="22"/>
        </w:rPr>
        <w:t xml:space="preserve">Preise: </w:t>
        <w:tab/>
        <w:t xml:space="preserve"> </w:t>
      </w:r>
      <w:r>
        <w:rPr>
          <w:b/>
          <w:sz w:val="22"/>
          <w:szCs w:val="22"/>
        </w:rPr>
        <w:t>2</w:t>
      </w:r>
      <w:r>
        <w:rPr>
          <w:b/>
          <w:sz w:val="22"/>
          <w:szCs w:val="22"/>
        </w:rPr>
        <w:t>x3 Freigetränke für Platz 1, 2x2 Freigetränke für Platz 2 und 2x1 Freigetränke für Platz 3, ab 16 Teams + 6 Freigetränke</w:t>
      </w:r>
    </w:p>
    <w:p>
      <w:pPr>
        <w:pStyle w:val="Normal"/>
        <w:tabs>
          <w:tab w:val="left" w:pos="1985" w:leader="none"/>
        </w:tabs>
        <w:spacing w:lineRule="auto" w:line="360"/>
        <w:jc w:val="both"/>
        <w:rPr/>
      </w:pPr>
      <w:r>
        <w:rPr>
          <w:b/>
          <w:sz w:val="22"/>
          <w:szCs w:val="22"/>
        </w:rPr>
        <w:t>Startgeld:</w:t>
        <w:tab/>
        <w:t xml:space="preserve"> 4 €</w:t>
      </w:r>
      <w:r>
        <w:rPr>
          <w:sz w:val="22"/>
          <w:szCs w:val="22"/>
        </w:rPr>
        <w:tab/>
      </w:r>
    </w:p>
    <w:p>
      <w:pPr>
        <w:pStyle w:val="Normal"/>
        <w:tabs>
          <w:tab w:val="left" w:pos="1985" w:leader="none"/>
        </w:tabs>
        <w:spacing w:lineRule="auto" w:line="360"/>
        <w:jc w:val="both"/>
        <w:rPr>
          <w:b/>
          <w:b/>
        </w:rPr>
      </w:pPr>
      <w:r>
        <w:rPr>
          <w:b/>
          <w:sz w:val="22"/>
          <w:szCs w:val="22"/>
        </w:rPr>
        <w:t>Anmeldung:</w:t>
        <w:tab/>
        <w:t>Facebook „</w:t>
      </w:r>
      <w:hyperlink r:id="rId5">
        <w:r>
          <w:rPr>
            <w:rStyle w:val="Internetverknpfung"/>
            <w:b/>
            <w:sz w:val="22"/>
            <w:szCs w:val="22"/>
          </w:rPr>
          <w:t>Tante Käthe kickert</w:t>
        </w:r>
      </w:hyperlink>
      <w:r>
        <w:rPr>
          <w:b/>
          <w:sz w:val="22"/>
          <w:szCs w:val="22"/>
        </w:rPr>
        <w:t>“ oder</w:t>
      </w:r>
      <w:r>
        <w:rPr>
          <w:b/>
          <w:sz w:val="22"/>
          <w:szCs w:val="22"/>
          <w:lang w:eastAsia="de-DE"/>
        </w:rPr>
        <w:t xml:space="preserve"> bis 20.00 Uhr bei der Turnierleitung vor Ort möglich</w:t>
      </w:r>
    </w:p>
    <w:p>
      <w:pPr>
        <w:pStyle w:val="Normal"/>
        <w:tabs>
          <w:tab w:val="left" w:pos="1985" w:leader="none"/>
        </w:tabs>
        <w:spacing w:lineRule="auto" w:line="360"/>
        <w:jc w:val="both"/>
        <w:rPr>
          <w:b/>
          <w:b/>
        </w:rPr>
      </w:pPr>
      <w:r>
        <w:rPr>
          <w:b/>
          <w:sz w:val="22"/>
          <w:szCs w:val="22"/>
        </w:rPr>
        <w:t>Regelwerk:</w:t>
        <w:tab/>
        <w:t>ITSF</w:t>
      </w:r>
    </w:p>
    <w:p>
      <w:pPr>
        <w:pStyle w:val="Normal"/>
        <w:tabs>
          <w:tab w:val="left" w:pos="1985" w:leader="none"/>
        </w:tabs>
        <w:spacing w:lineRule="auto" w:line="360"/>
        <w:jc w:val="both"/>
        <w:rPr/>
      </w:pPr>
      <w:r>
        <w:rPr>
          <w:b/>
          <w:sz w:val="22"/>
          <w:szCs w:val="22"/>
        </w:rPr>
        <w:t>Turnierleitung:</w:t>
        <w:tab/>
        <w:t xml:space="preserve">Lothar Hartl; </w:t>
      </w:r>
      <w:hyperlink r:id="rId6">
        <w:r>
          <w:rPr>
            <w:rStyle w:val="Internetverknpfung"/>
            <w:b/>
            <w:sz w:val="22"/>
            <w:szCs w:val="22"/>
          </w:rPr>
          <w:t>tkkg@tante-kaethe.com</w:t>
        </w:r>
      </w:hyperlink>
    </w:p>
    <w:p>
      <w:pPr>
        <w:pStyle w:val="Normal"/>
        <w:tabs>
          <w:tab w:val="left" w:pos="1985" w:leader="none"/>
        </w:tabs>
        <w:spacing w:lineRule="auto" w:line="360"/>
        <w:jc w:val="both"/>
        <w:rPr/>
      </w:pPr>
      <w:r>
        <w:rPr>
          <w:b/>
          <w:sz w:val="22"/>
          <w:szCs w:val="22"/>
        </w:rPr>
        <w:t>Ansprechpartner:</w:t>
        <w:tab/>
        <w:t xml:space="preserve">Lothar Hartl; </w:t>
      </w:r>
      <w:hyperlink r:id="rId7">
        <w:r>
          <w:rPr>
            <w:rStyle w:val="Internetverknpfung"/>
            <w:b/>
            <w:sz w:val="22"/>
            <w:szCs w:val="22"/>
          </w:rPr>
          <w:t>tkkg@tante-kaethe.com</w:t>
        </w:r>
      </w:hyperlink>
    </w:p>
    <w:p>
      <w:pPr>
        <w:pStyle w:val="Normal"/>
        <w:tabs>
          <w:tab w:val="left" w:pos="1985" w:leader="none"/>
        </w:tabs>
        <w:spacing w:lineRule="auto" w:line="360"/>
        <w:jc w:val="both"/>
        <w:rPr>
          <w:b/>
          <w:b/>
        </w:rPr>
      </w:pPr>
      <w:r>
        <w:rPr>
          <w:b/>
        </w:rPr>
      </w:r>
    </w:p>
    <w:p>
      <w:pPr>
        <w:pStyle w:val="Normal"/>
        <w:tabs>
          <w:tab w:val="left" w:pos="1843" w:leader="none"/>
        </w:tabs>
        <w:spacing w:before="6917" w:after="0"/>
        <w:jc w:val="both"/>
        <w:rPr/>
      </w:pPr>
      <w:r>
        <w:rPr/>
        <mc:AlternateContent>
          <mc:Choice Requires="wps">
            <w:drawing>
              <wp:anchor behindDoc="1" distT="0" distB="0" distL="114300" distR="114300" simplePos="0" locked="0" layoutInCell="1" allowOverlap="1" relativeHeight="4" wp14:anchorId="7679FD5B">
                <wp:simplePos x="0" y="0"/>
                <wp:positionH relativeFrom="column">
                  <wp:posOffset>4686935</wp:posOffset>
                </wp:positionH>
                <wp:positionV relativeFrom="paragraph">
                  <wp:posOffset>22860</wp:posOffset>
                </wp:positionV>
                <wp:extent cx="5045075" cy="2194560"/>
                <wp:effectExtent l="0" t="0" r="22860" b="15875"/>
                <wp:wrapTight wrapText="bothSides">
                  <wp:wrapPolygon edited="0">
                    <wp:start x="0" y="0"/>
                    <wp:lineTo x="0" y="21569"/>
                    <wp:lineTo x="21616" y="21569"/>
                    <wp:lineTo x="21616" y="0"/>
                    <wp:lineTo x="0" y="0"/>
                  </wp:wrapPolygon>
                </wp:wrapTight>
                <wp:docPr id="4" name="Rahmen2"/>
                <a:graphic xmlns:a="http://schemas.openxmlformats.org/drawingml/2006/main">
                  <a:graphicData uri="http://schemas.microsoft.com/office/word/2010/wordprocessingShape">
                    <wps:wsp>
                      <wps:cNvSpPr/>
                      <wps:spPr>
                        <a:xfrm>
                          <a:off x="0" y="0"/>
                          <a:ext cx="5044320" cy="2193840"/>
                        </a:xfrm>
                        <a:prstGeom prst="rect">
                          <a:avLst/>
                        </a:prstGeom>
                        <a:solidFill>
                          <a:srgbClr val="ffffff"/>
                        </a:solidFill>
                        <a:ln w="12600">
                          <a:solidFill>
                            <a:srgbClr val="c2d69b"/>
                          </a:solidFill>
                          <a:round/>
                        </a:ln>
                      </wps:spPr>
                      <wps:style>
                        <a:lnRef idx="0"/>
                        <a:fillRef idx="0"/>
                        <a:effectRef idx="0"/>
                        <a:fontRef idx="minor"/>
                      </wps:style>
                      <wps:txbx>
                        <w:txbxContent>
                          <w:p>
                            <w:pPr>
                              <w:pStyle w:val="Rahmeninhalt"/>
                              <w:tabs>
                                <w:tab w:val="left" w:pos="1843" w:leader="none"/>
                              </w:tabs>
                              <w:jc w:val="both"/>
                              <w:rPr>
                                <w:b/>
                                <w:b/>
                                <w:sz w:val="22"/>
                                <w:szCs w:val="22"/>
                              </w:rPr>
                            </w:pPr>
                            <w:r>
                              <w:rPr>
                                <w:b/>
                                <w:color w:val="auto"/>
                                <w:sz w:val="22"/>
                                <w:szCs w:val="22"/>
                              </w:rPr>
                              <w:t>Teilnahmebedingungen</w:t>
                            </w:r>
                          </w:p>
                          <w:p>
                            <w:pPr>
                              <w:pStyle w:val="Rahmeninhalt"/>
                              <w:tabs>
                                <w:tab w:val="left" w:pos="1843" w:leader="none"/>
                              </w:tabs>
                              <w:jc w:val="both"/>
                              <w:rPr>
                                <w:color w:val="auto"/>
                                <w:sz w:val="16"/>
                                <w:szCs w:val="16"/>
                              </w:rPr>
                            </w:pPr>
                            <w:r>
                              <w:rPr>
                                <w:color w:val="auto"/>
                                <w:sz w:val="16"/>
                                <w:szCs w:val="16"/>
                              </w:rPr>
                            </w:r>
                          </w:p>
                          <w:p>
                            <w:pPr>
                              <w:pStyle w:val="Rahmeninhalt"/>
                              <w:tabs>
                                <w:tab w:val="left" w:pos="1843" w:leader="none"/>
                              </w:tabs>
                              <w:jc w:val="both"/>
                              <w:rPr>
                                <w:sz w:val="20"/>
                                <w:szCs w:val="20"/>
                              </w:rPr>
                            </w:pPr>
                            <w:r>
                              <w:rPr>
                                <w:color w:val="auto"/>
                                <w:sz w:val="20"/>
                                <w:szCs w:val="20"/>
                              </w:rPr>
                              <w:t>Teilnahmeberechtigt sind alle aktiven Mitglieder des DTFB. Nicht-Mitglieder können ebenfalls teilnehmen. Disziplinen werden pünktlich begonnen. Alle Disziplinen werden am selben Tag beendet.</w:t>
                            </w:r>
                          </w:p>
                          <w:p>
                            <w:pPr>
                              <w:pStyle w:val="Rahmeninhalt"/>
                              <w:tabs>
                                <w:tab w:val="left" w:pos="1843" w:leader="none"/>
                              </w:tabs>
                              <w:jc w:val="both"/>
                              <w:rPr>
                                <w:color w:val="auto"/>
                                <w:sz w:val="20"/>
                                <w:szCs w:val="20"/>
                              </w:rPr>
                            </w:pPr>
                            <w:r>
                              <w:rPr>
                                <w:color w:val="auto"/>
                                <w:sz w:val="20"/>
                                <w:szCs w:val="20"/>
                              </w:rPr>
                            </w:r>
                          </w:p>
                          <w:p>
                            <w:pPr>
                              <w:pStyle w:val="Rahmeninhalt"/>
                              <w:rPr>
                                <w:sz w:val="20"/>
                                <w:szCs w:val="20"/>
                              </w:rPr>
                            </w:pPr>
                            <w:r>
                              <w:rPr>
                                <w:color w:val="auto"/>
                                <w:sz w:val="20"/>
                                <w:szCs w:val="20"/>
                              </w:rPr>
                              <w:t>Entscheidungen von Turnierleitung und Schiedsrichtern sind endgültig. Mit der Anmeldung erklärt sich der Teilnehmer damit einverstanden, dass dessen Name mit dem Turnierergebnis, sowie etwaige Medien, auf denen der Teilnehmer zu sehen ist, veröffentlicht werden.</w:t>
                            </w:r>
                          </w:p>
                          <w:p>
                            <w:pPr>
                              <w:pStyle w:val="Rahmeninhalt"/>
                              <w:rPr>
                                <w:sz w:val="20"/>
                                <w:szCs w:val="20"/>
                              </w:rPr>
                            </w:pPr>
                            <w:r>
                              <w:rPr>
                                <w:color w:val="auto"/>
                                <w:sz w:val="20"/>
                                <w:szCs w:val="20"/>
                              </w:rPr>
                              <w:t>Der Veranstalter behält sich jederzeit die Möglichkeit zu Änderungen vor.</w:t>
                            </w:r>
                          </w:p>
                          <w:p>
                            <w:pPr>
                              <w:pStyle w:val="Rahmeninhalt"/>
                              <w:tabs>
                                <w:tab w:val="left" w:pos="1843" w:leader="none"/>
                              </w:tabs>
                              <w:spacing w:before="0" w:after="120"/>
                              <w:jc w:val="both"/>
                              <w:rPr>
                                <w:color w:val="auto"/>
                              </w:rPr>
                            </w:pPr>
                            <w:r>
                              <w:rPr>
                                <w:color w:val="auto"/>
                              </w:rPr>
                            </w:r>
                          </w:p>
                        </w:txbxContent>
                      </wps:txbx>
                      <wps:bodyPr>
                        <a:noAutofit/>
                      </wps:bodyPr>
                    </wps:wsp>
                  </a:graphicData>
                </a:graphic>
              </wp:anchor>
            </w:drawing>
          </mc:Choice>
          <mc:Fallback>
            <w:pict>
              <v:rect id="shape_0" ID="Rahmen2" fillcolor="white" stroked="t" style="position:absolute;margin-left:369.05pt;margin-top:1.8pt;width:397.15pt;height:172.7pt" wp14:anchorId="7679FD5B">
                <w10:wrap type="square"/>
                <v:fill o:detectmouseclick="t" type="solid" color2="black"/>
                <v:stroke color="#c2d69b" weight="12600" joinstyle="round" endcap="flat"/>
                <v:textbox>
                  <w:txbxContent>
                    <w:p>
                      <w:pPr>
                        <w:pStyle w:val="Rahmeninhalt"/>
                        <w:tabs>
                          <w:tab w:val="left" w:pos="1843" w:leader="none"/>
                        </w:tabs>
                        <w:jc w:val="both"/>
                        <w:rPr>
                          <w:b/>
                          <w:b/>
                          <w:sz w:val="22"/>
                          <w:szCs w:val="22"/>
                        </w:rPr>
                      </w:pPr>
                      <w:r>
                        <w:rPr>
                          <w:b/>
                          <w:color w:val="auto"/>
                          <w:sz w:val="22"/>
                          <w:szCs w:val="22"/>
                        </w:rPr>
                        <w:t>Teilnahmebedingungen</w:t>
                      </w:r>
                    </w:p>
                    <w:p>
                      <w:pPr>
                        <w:pStyle w:val="Rahmeninhalt"/>
                        <w:tabs>
                          <w:tab w:val="left" w:pos="1843" w:leader="none"/>
                        </w:tabs>
                        <w:jc w:val="both"/>
                        <w:rPr>
                          <w:color w:val="auto"/>
                          <w:sz w:val="16"/>
                          <w:szCs w:val="16"/>
                        </w:rPr>
                      </w:pPr>
                      <w:r>
                        <w:rPr>
                          <w:color w:val="auto"/>
                          <w:sz w:val="16"/>
                          <w:szCs w:val="16"/>
                        </w:rPr>
                      </w:r>
                    </w:p>
                    <w:p>
                      <w:pPr>
                        <w:pStyle w:val="Rahmeninhalt"/>
                        <w:tabs>
                          <w:tab w:val="left" w:pos="1843" w:leader="none"/>
                        </w:tabs>
                        <w:jc w:val="both"/>
                        <w:rPr>
                          <w:sz w:val="20"/>
                          <w:szCs w:val="20"/>
                        </w:rPr>
                      </w:pPr>
                      <w:r>
                        <w:rPr>
                          <w:color w:val="auto"/>
                          <w:sz w:val="20"/>
                          <w:szCs w:val="20"/>
                        </w:rPr>
                        <w:t>Teilnahmeberechtigt sind alle aktiven Mitglieder des DTFB. Nicht-Mitglieder können ebenfalls teilnehmen. Disziplinen werden pünktlich begonnen. Alle Disziplinen werden am selben Tag beendet.</w:t>
                      </w:r>
                    </w:p>
                    <w:p>
                      <w:pPr>
                        <w:pStyle w:val="Rahmeninhalt"/>
                        <w:tabs>
                          <w:tab w:val="left" w:pos="1843" w:leader="none"/>
                        </w:tabs>
                        <w:jc w:val="both"/>
                        <w:rPr>
                          <w:color w:val="auto"/>
                          <w:sz w:val="20"/>
                          <w:szCs w:val="20"/>
                        </w:rPr>
                      </w:pPr>
                      <w:r>
                        <w:rPr>
                          <w:color w:val="auto"/>
                          <w:sz w:val="20"/>
                          <w:szCs w:val="20"/>
                        </w:rPr>
                      </w:r>
                    </w:p>
                    <w:p>
                      <w:pPr>
                        <w:pStyle w:val="Rahmeninhalt"/>
                        <w:rPr>
                          <w:sz w:val="20"/>
                          <w:szCs w:val="20"/>
                        </w:rPr>
                      </w:pPr>
                      <w:r>
                        <w:rPr>
                          <w:color w:val="auto"/>
                          <w:sz w:val="20"/>
                          <w:szCs w:val="20"/>
                        </w:rPr>
                        <w:t>Entscheidungen von Turnierleitung und Schiedsrichtern sind endgültig. Mit der Anmeldung erklärt sich der Teilnehmer damit einverstanden, dass dessen Name mit dem Turnierergebnis, sowie etwaige Medien, auf denen der Teilnehmer zu sehen ist, veröffentlicht werden.</w:t>
                      </w:r>
                    </w:p>
                    <w:p>
                      <w:pPr>
                        <w:pStyle w:val="Rahmeninhalt"/>
                        <w:rPr>
                          <w:sz w:val="20"/>
                          <w:szCs w:val="20"/>
                        </w:rPr>
                      </w:pPr>
                      <w:r>
                        <w:rPr>
                          <w:color w:val="auto"/>
                          <w:sz w:val="20"/>
                          <w:szCs w:val="20"/>
                        </w:rPr>
                        <w:t>Der Veranstalter behält sich jederzeit die Möglichkeit zu Änderungen vor.</w:t>
                      </w:r>
                    </w:p>
                    <w:p>
                      <w:pPr>
                        <w:pStyle w:val="Rahmeninhalt"/>
                        <w:tabs>
                          <w:tab w:val="left" w:pos="1843" w:leader="none"/>
                        </w:tabs>
                        <w:spacing w:before="0" w:after="120"/>
                        <w:jc w:val="both"/>
                        <w:rPr>
                          <w:color w:val="auto"/>
                        </w:rPr>
                      </w:pPr>
                      <w:r>
                        <w:rPr>
                          <w:color w:val="auto"/>
                        </w:rPr>
                      </w:r>
                    </w:p>
                  </w:txbxContent>
                </v:textbox>
              </v:rect>
            </w:pict>
          </mc:Fallback>
        </mc:AlternateContent>
        <mc:AlternateContent>
          <mc:Choice Requires="wps">
            <w:drawing>
              <wp:anchor behindDoc="1" distT="0" distB="0" distL="114300" distR="114300" simplePos="0" locked="0" layoutInCell="1" allowOverlap="1" relativeHeight="5" wp14:anchorId="0F72ACC4">
                <wp:simplePos x="0" y="0"/>
                <wp:positionH relativeFrom="column">
                  <wp:posOffset>-36195</wp:posOffset>
                </wp:positionH>
                <wp:positionV relativeFrom="paragraph">
                  <wp:posOffset>139700</wp:posOffset>
                </wp:positionV>
                <wp:extent cx="4665345" cy="2199005"/>
                <wp:effectExtent l="0" t="0" r="19050" b="11430"/>
                <wp:wrapTight wrapText="bothSides">
                  <wp:wrapPolygon edited="0">
                    <wp:start x="0" y="0"/>
                    <wp:lineTo x="0" y="21525"/>
                    <wp:lineTo x="21600" y="21525"/>
                    <wp:lineTo x="21600" y="0"/>
                    <wp:lineTo x="0" y="0"/>
                  </wp:wrapPolygon>
                </wp:wrapTight>
                <wp:docPr id="6" name="Rahmen1"/>
                <a:graphic xmlns:a="http://schemas.openxmlformats.org/drawingml/2006/main">
                  <a:graphicData uri="http://schemas.microsoft.com/office/word/2010/wordprocessingShape">
                    <wps:wsp>
                      <wps:cNvSpPr/>
                      <wps:spPr>
                        <a:xfrm>
                          <a:off x="0" y="0"/>
                          <a:ext cx="4664880" cy="2198520"/>
                        </a:xfrm>
                        <a:prstGeom prst="rect">
                          <a:avLst/>
                        </a:prstGeom>
                        <a:solidFill>
                          <a:srgbClr val="ffffff"/>
                        </a:solidFill>
                        <a:ln w="12600">
                          <a:solidFill>
                            <a:srgbClr val="c2d69b"/>
                          </a:solidFill>
                          <a:round/>
                        </a:ln>
                      </wps:spPr>
                      <wps:style>
                        <a:lnRef idx="0"/>
                        <a:fillRef idx="0"/>
                        <a:effectRef idx="0"/>
                        <a:fontRef idx="minor"/>
                      </wps:style>
                      <wps:txbx>
                        <w:txbxContent>
                          <w:p>
                            <w:pPr>
                              <w:pStyle w:val="Rahmeninhalt"/>
                              <w:jc w:val="both"/>
                              <w:rPr>
                                <w:b/>
                                <w:b/>
                                <w:color w:val="000000"/>
                                <w:sz w:val="22"/>
                                <w:szCs w:val="22"/>
                              </w:rPr>
                            </w:pPr>
                            <w:r>
                              <w:rPr>
                                <w:b/>
                                <w:color w:val="000000"/>
                                <w:sz w:val="22"/>
                                <w:szCs w:val="22"/>
                              </w:rPr>
                              <w:t>Modus der Challenger Disziplinen</w:t>
                            </w:r>
                          </w:p>
                          <w:p>
                            <w:pPr>
                              <w:pStyle w:val="Rahmeninhalt"/>
                              <w:jc w:val="both"/>
                              <w:rPr>
                                <w:color w:val="000000"/>
                                <w:sz w:val="16"/>
                                <w:szCs w:val="16"/>
                              </w:rPr>
                            </w:pPr>
                            <w:r>
                              <w:rPr>
                                <w:color w:val="000000"/>
                                <w:sz w:val="16"/>
                                <w:szCs w:val="16"/>
                              </w:rPr>
                            </w:r>
                          </w:p>
                          <w:p>
                            <w:pPr>
                              <w:pStyle w:val="Rahmeninhalt"/>
                              <w:numPr>
                                <w:ilvl w:val="0"/>
                                <w:numId w:val="2"/>
                              </w:numPr>
                              <w:ind w:left="426" w:hanging="284"/>
                              <w:jc w:val="both"/>
                              <w:rPr>
                                <w:iCs/>
                                <w:sz w:val="18"/>
                                <w:szCs w:val="18"/>
                              </w:rPr>
                            </w:pPr>
                            <w:r>
                              <w:rPr>
                                <w:iCs/>
                                <w:sz w:val="18"/>
                                <w:szCs w:val="18"/>
                              </w:rPr>
                              <w:t>Die Wertung erfolgt für die für die TFVB-Rangliste.</w:t>
                            </w:r>
                          </w:p>
                          <w:p>
                            <w:pPr>
                              <w:pStyle w:val="Rahmeninhalt"/>
                              <w:numPr>
                                <w:ilvl w:val="0"/>
                                <w:numId w:val="2"/>
                              </w:numPr>
                              <w:ind w:left="426" w:hanging="284"/>
                              <w:jc w:val="both"/>
                              <w:rPr>
                                <w:iCs/>
                                <w:sz w:val="18"/>
                                <w:szCs w:val="18"/>
                              </w:rPr>
                            </w:pPr>
                            <w:r>
                              <w:rPr>
                                <w:iCs/>
                                <w:sz w:val="18"/>
                                <w:szCs w:val="18"/>
                              </w:rPr>
                              <w:t>Alle Teilnehmer spielen eine Platzierungsrunde, deren Begegnungen nach dem</w:t>
                            </w:r>
                          </w:p>
                          <w:p>
                            <w:pPr>
                              <w:pStyle w:val="Rahmeninhalt"/>
                              <w:ind w:left="426" w:hanging="284"/>
                              <w:rPr>
                                <w:sz w:val="18"/>
                                <w:szCs w:val="18"/>
                              </w:rPr>
                            </w:pPr>
                            <w:r>
                              <w:rPr>
                                <w:sz w:val="18"/>
                                <w:szCs w:val="18"/>
                              </w:rPr>
                              <w:tab/>
                              <w:t>Schweizer System (mit Buchholzzahl), ermittelt werden. Die Platzierungsrunde</w:t>
                            </w:r>
                          </w:p>
                          <w:p>
                            <w:pPr>
                              <w:pStyle w:val="Rahmeninhalt"/>
                              <w:ind w:left="426" w:hanging="284"/>
                              <w:rPr>
                                <w:sz w:val="18"/>
                                <w:szCs w:val="18"/>
                              </w:rPr>
                            </w:pPr>
                            <w:r>
                              <w:rPr>
                                <w:sz w:val="18"/>
                                <w:szCs w:val="18"/>
                              </w:rPr>
                              <w:tab/>
                              <w:t>besteht aus fünf bis sieben Runden.</w:t>
                            </w:r>
                          </w:p>
                          <w:p>
                            <w:pPr>
                              <w:pStyle w:val="Rahmeninhalt"/>
                              <w:numPr>
                                <w:ilvl w:val="0"/>
                                <w:numId w:val="1"/>
                              </w:numPr>
                              <w:ind w:left="426" w:hanging="284"/>
                              <w:jc w:val="both"/>
                              <w:rPr>
                                <w:iCs/>
                                <w:sz w:val="18"/>
                                <w:szCs w:val="18"/>
                              </w:rPr>
                            </w:pPr>
                            <w:r>
                              <w:rPr>
                                <w:iCs/>
                                <w:sz w:val="18"/>
                                <w:szCs w:val="18"/>
                              </w:rPr>
                              <w:t>In der Eliminierungsrunde werden mit einem Einfach-K.O. die Sieger ausgespielt. Die</w:t>
                            </w:r>
                          </w:p>
                          <w:p>
                            <w:pPr>
                              <w:pStyle w:val="Rahmeninhalt"/>
                              <w:ind w:left="426" w:hanging="284"/>
                              <w:jc w:val="both"/>
                              <w:rPr>
                                <w:iCs/>
                                <w:sz w:val="18"/>
                                <w:szCs w:val="18"/>
                              </w:rPr>
                            </w:pPr>
                            <w:r>
                              <w:rPr>
                                <w:iCs/>
                                <w:sz w:val="18"/>
                                <w:szCs w:val="18"/>
                              </w:rPr>
                              <w:tab/>
                              <w:t xml:space="preserve">Anzahl der weiterkommenden Teams wird vor Ort von der Turnierleitung entschieden. </w:t>
                            </w:r>
                          </w:p>
                          <w:p>
                            <w:pPr>
                              <w:pStyle w:val="Rahmeninhalt"/>
                              <w:numPr>
                                <w:ilvl w:val="0"/>
                                <w:numId w:val="1"/>
                              </w:numPr>
                              <w:ind w:left="426" w:hanging="284"/>
                              <w:jc w:val="both"/>
                              <w:rPr>
                                <w:iCs/>
                                <w:sz w:val="18"/>
                                <w:szCs w:val="18"/>
                              </w:rPr>
                            </w:pPr>
                            <w:r>
                              <w:rPr>
                                <w:iCs/>
                                <w:sz w:val="18"/>
                                <w:szCs w:val="18"/>
                              </w:rPr>
                              <w:t xml:space="preserve">In der Platzierungsrunde wird Best of Three gespielt, </w:t>
                            </w:r>
                          </w:p>
                          <w:p>
                            <w:pPr>
                              <w:pStyle w:val="Rahmeninhalt"/>
                              <w:ind w:left="426" w:hanging="284"/>
                              <w:rPr>
                                <w:sz w:val="18"/>
                                <w:szCs w:val="18"/>
                              </w:rPr>
                            </w:pPr>
                            <w:r>
                              <w:rPr>
                                <w:sz w:val="18"/>
                                <w:szCs w:val="18"/>
                              </w:rPr>
                              <w:tab/>
                              <w:t>im anschließenden Profi-KO drei Gewinnsätze bis fünf Tore, mit zwei Toren Vorsprung bis</w:t>
                            </w:r>
                          </w:p>
                          <w:p>
                            <w:pPr>
                              <w:pStyle w:val="Rahmeninhalt"/>
                              <w:ind w:left="426" w:hanging="284"/>
                              <w:rPr>
                                <w:sz w:val="18"/>
                                <w:szCs w:val="18"/>
                              </w:rPr>
                            </w:pPr>
                            <w:r>
                              <w:rPr>
                                <w:sz w:val="18"/>
                                <w:szCs w:val="18"/>
                              </w:rPr>
                              <w:tab/>
                              <w:t>maximal acht im entscheidenden letzten Satz</w:t>
                            </w:r>
                          </w:p>
                          <w:p>
                            <w:pPr>
                              <w:pStyle w:val="Rahmeninhalt"/>
                              <w:numPr>
                                <w:ilvl w:val="0"/>
                                <w:numId w:val="1"/>
                              </w:numPr>
                              <w:ind w:left="426" w:hanging="284"/>
                              <w:jc w:val="both"/>
                              <w:rPr>
                                <w:iCs/>
                                <w:sz w:val="18"/>
                                <w:szCs w:val="18"/>
                              </w:rPr>
                            </w:pPr>
                            <w:r>
                              <w:rPr>
                                <w:iCs/>
                                <w:sz w:val="18"/>
                                <w:szCs w:val="18"/>
                              </w:rPr>
                              <w:t>Nach dem Ausscheiden in den KO-Runden erhalten gleichplatzierte Teilnehmer</w:t>
                            </w:r>
                          </w:p>
                          <w:p>
                            <w:pPr>
                              <w:pStyle w:val="Rahmeninhalt"/>
                              <w:spacing w:before="0" w:after="120"/>
                              <w:ind w:left="426" w:hanging="0"/>
                              <w:jc w:val="both"/>
                              <w:rPr/>
                            </w:pPr>
                            <w:r>
                              <w:rPr>
                                <w:iCs/>
                                <w:sz w:val="18"/>
                                <w:szCs w:val="18"/>
                              </w:rPr>
                              <w:t>unterschiedliche Endplatzierungen entsprechend ihrer Vorrundenplatzierung.</w:t>
                            </w:r>
                          </w:p>
                        </w:txbxContent>
                      </wps:txbx>
                      <wps:bodyPr>
                        <a:noAutofit/>
                      </wps:bodyPr>
                    </wps:wsp>
                  </a:graphicData>
                </a:graphic>
              </wp:anchor>
            </w:drawing>
          </mc:Choice>
          <mc:Fallback>
            <w:pict>
              <v:rect id="shape_0" ID="Rahmen1" fillcolor="white" stroked="t" style="position:absolute;margin-left:-2.85pt;margin-top:11pt;width:367.25pt;height:173.05pt" wp14:anchorId="0F72ACC4">
                <w10:wrap type="square"/>
                <v:fill o:detectmouseclick="t" type="solid" color2="black"/>
                <v:stroke color="#c2d69b" weight="12600" joinstyle="round" endcap="flat"/>
                <v:textbox>
                  <w:txbxContent>
                    <w:p>
                      <w:pPr>
                        <w:pStyle w:val="Rahmeninhalt"/>
                        <w:jc w:val="both"/>
                        <w:rPr>
                          <w:b/>
                          <w:b/>
                          <w:color w:val="000000"/>
                          <w:sz w:val="22"/>
                          <w:szCs w:val="22"/>
                        </w:rPr>
                      </w:pPr>
                      <w:r>
                        <w:rPr>
                          <w:b/>
                          <w:color w:val="000000"/>
                          <w:sz w:val="22"/>
                          <w:szCs w:val="22"/>
                        </w:rPr>
                        <w:t>Modus der Challenger Disziplinen</w:t>
                      </w:r>
                    </w:p>
                    <w:p>
                      <w:pPr>
                        <w:pStyle w:val="Rahmeninhalt"/>
                        <w:jc w:val="both"/>
                        <w:rPr>
                          <w:color w:val="000000"/>
                          <w:sz w:val="16"/>
                          <w:szCs w:val="16"/>
                        </w:rPr>
                      </w:pPr>
                      <w:r>
                        <w:rPr>
                          <w:color w:val="000000"/>
                          <w:sz w:val="16"/>
                          <w:szCs w:val="16"/>
                        </w:rPr>
                      </w:r>
                    </w:p>
                    <w:p>
                      <w:pPr>
                        <w:pStyle w:val="Rahmeninhalt"/>
                        <w:numPr>
                          <w:ilvl w:val="0"/>
                          <w:numId w:val="2"/>
                        </w:numPr>
                        <w:ind w:left="426" w:hanging="284"/>
                        <w:jc w:val="both"/>
                        <w:rPr>
                          <w:iCs/>
                          <w:sz w:val="18"/>
                          <w:szCs w:val="18"/>
                        </w:rPr>
                      </w:pPr>
                      <w:r>
                        <w:rPr>
                          <w:iCs/>
                          <w:sz w:val="18"/>
                          <w:szCs w:val="18"/>
                        </w:rPr>
                        <w:t>Die Wertung erfolgt für die für die TFVB-Rangliste.</w:t>
                      </w:r>
                    </w:p>
                    <w:p>
                      <w:pPr>
                        <w:pStyle w:val="Rahmeninhalt"/>
                        <w:numPr>
                          <w:ilvl w:val="0"/>
                          <w:numId w:val="2"/>
                        </w:numPr>
                        <w:ind w:left="426" w:hanging="284"/>
                        <w:jc w:val="both"/>
                        <w:rPr>
                          <w:iCs/>
                          <w:sz w:val="18"/>
                          <w:szCs w:val="18"/>
                        </w:rPr>
                      </w:pPr>
                      <w:r>
                        <w:rPr>
                          <w:iCs/>
                          <w:sz w:val="18"/>
                          <w:szCs w:val="18"/>
                        </w:rPr>
                        <w:t>Alle Teilnehmer spielen eine Platzierungsrunde, deren Begegnungen nach dem</w:t>
                      </w:r>
                    </w:p>
                    <w:p>
                      <w:pPr>
                        <w:pStyle w:val="Rahmeninhalt"/>
                        <w:ind w:left="426" w:hanging="284"/>
                        <w:rPr>
                          <w:sz w:val="18"/>
                          <w:szCs w:val="18"/>
                        </w:rPr>
                      </w:pPr>
                      <w:r>
                        <w:rPr>
                          <w:sz w:val="18"/>
                          <w:szCs w:val="18"/>
                        </w:rPr>
                        <w:tab/>
                        <w:t>Schweizer System (mit Buchholzzahl), ermittelt werden. Die Platzierungsrunde</w:t>
                      </w:r>
                    </w:p>
                    <w:p>
                      <w:pPr>
                        <w:pStyle w:val="Rahmeninhalt"/>
                        <w:ind w:left="426" w:hanging="284"/>
                        <w:rPr>
                          <w:sz w:val="18"/>
                          <w:szCs w:val="18"/>
                        </w:rPr>
                      </w:pPr>
                      <w:r>
                        <w:rPr>
                          <w:sz w:val="18"/>
                          <w:szCs w:val="18"/>
                        </w:rPr>
                        <w:tab/>
                        <w:t>besteht aus fünf bis sieben Runden.</w:t>
                      </w:r>
                    </w:p>
                    <w:p>
                      <w:pPr>
                        <w:pStyle w:val="Rahmeninhalt"/>
                        <w:numPr>
                          <w:ilvl w:val="0"/>
                          <w:numId w:val="1"/>
                        </w:numPr>
                        <w:ind w:left="426" w:hanging="284"/>
                        <w:jc w:val="both"/>
                        <w:rPr>
                          <w:iCs/>
                          <w:sz w:val="18"/>
                          <w:szCs w:val="18"/>
                        </w:rPr>
                      </w:pPr>
                      <w:r>
                        <w:rPr>
                          <w:iCs/>
                          <w:sz w:val="18"/>
                          <w:szCs w:val="18"/>
                        </w:rPr>
                        <w:t>In der Eliminierungsrunde werden mit einem Einfach-K.O. die Sieger ausgespielt. Die</w:t>
                      </w:r>
                    </w:p>
                    <w:p>
                      <w:pPr>
                        <w:pStyle w:val="Rahmeninhalt"/>
                        <w:ind w:left="426" w:hanging="284"/>
                        <w:jc w:val="both"/>
                        <w:rPr>
                          <w:iCs/>
                          <w:sz w:val="18"/>
                          <w:szCs w:val="18"/>
                        </w:rPr>
                      </w:pPr>
                      <w:r>
                        <w:rPr>
                          <w:iCs/>
                          <w:sz w:val="18"/>
                          <w:szCs w:val="18"/>
                        </w:rPr>
                        <w:tab/>
                        <w:t xml:space="preserve">Anzahl der weiterkommenden Teams wird vor Ort von der Turnierleitung entschieden. </w:t>
                      </w:r>
                    </w:p>
                    <w:p>
                      <w:pPr>
                        <w:pStyle w:val="Rahmeninhalt"/>
                        <w:numPr>
                          <w:ilvl w:val="0"/>
                          <w:numId w:val="1"/>
                        </w:numPr>
                        <w:ind w:left="426" w:hanging="284"/>
                        <w:jc w:val="both"/>
                        <w:rPr>
                          <w:iCs/>
                          <w:sz w:val="18"/>
                          <w:szCs w:val="18"/>
                        </w:rPr>
                      </w:pPr>
                      <w:r>
                        <w:rPr>
                          <w:iCs/>
                          <w:sz w:val="18"/>
                          <w:szCs w:val="18"/>
                        </w:rPr>
                        <w:t xml:space="preserve">In der Platzierungsrunde wird Best of Three gespielt, </w:t>
                      </w:r>
                    </w:p>
                    <w:p>
                      <w:pPr>
                        <w:pStyle w:val="Rahmeninhalt"/>
                        <w:ind w:left="426" w:hanging="284"/>
                        <w:rPr>
                          <w:sz w:val="18"/>
                          <w:szCs w:val="18"/>
                        </w:rPr>
                      </w:pPr>
                      <w:r>
                        <w:rPr>
                          <w:sz w:val="18"/>
                          <w:szCs w:val="18"/>
                        </w:rPr>
                        <w:tab/>
                        <w:t>im anschließenden Profi-KO drei Gewinnsätze bis fünf Tore, mit zwei Toren Vorsprung bis</w:t>
                      </w:r>
                    </w:p>
                    <w:p>
                      <w:pPr>
                        <w:pStyle w:val="Rahmeninhalt"/>
                        <w:ind w:left="426" w:hanging="284"/>
                        <w:rPr>
                          <w:sz w:val="18"/>
                          <w:szCs w:val="18"/>
                        </w:rPr>
                      </w:pPr>
                      <w:r>
                        <w:rPr>
                          <w:sz w:val="18"/>
                          <w:szCs w:val="18"/>
                        </w:rPr>
                        <w:tab/>
                        <w:t>maximal acht im entscheidenden letzten Satz</w:t>
                      </w:r>
                    </w:p>
                    <w:p>
                      <w:pPr>
                        <w:pStyle w:val="Rahmeninhalt"/>
                        <w:numPr>
                          <w:ilvl w:val="0"/>
                          <w:numId w:val="1"/>
                        </w:numPr>
                        <w:ind w:left="426" w:hanging="284"/>
                        <w:jc w:val="both"/>
                        <w:rPr>
                          <w:iCs/>
                          <w:sz w:val="18"/>
                          <w:szCs w:val="18"/>
                        </w:rPr>
                      </w:pPr>
                      <w:r>
                        <w:rPr>
                          <w:iCs/>
                          <w:sz w:val="18"/>
                          <w:szCs w:val="18"/>
                        </w:rPr>
                        <w:t>Nach dem Ausscheiden in den KO-Runden erhalten gleichplatzierte Teilnehmer</w:t>
                      </w:r>
                    </w:p>
                    <w:p>
                      <w:pPr>
                        <w:pStyle w:val="Rahmeninhalt"/>
                        <w:spacing w:before="0" w:after="120"/>
                        <w:ind w:left="426" w:hanging="0"/>
                        <w:jc w:val="both"/>
                        <w:rPr/>
                      </w:pPr>
                      <w:r>
                        <w:rPr>
                          <w:iCs/>
                          <w:sz w:val="18"/>
                          <w:szCs w:val="18"/>
                        </w:rPr>
                        <w:t>unterschiedliche Endplatzierungen entsprechend ihrer Vorrundenplatzierung.</w:t>
                      </w:r>
                    </w:p>
                  </w:txbxContent>
                </v:textbox>
              </v:rect>
            </w:pict>
          </mc:Fallback>
        </mc:AlternateContent>
      </w:r>
    </w:p>
    <w:sectPr>
      <w:type w:val="nextPage"/>
      <w:pgSz w:orient="landscape" w:w="16838" w:h="11906"/>
      <w:pgMar w:left="720" w:right="72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Arial">
    <w:charset w:val="00"/>
    <w:family w:val="roman"/>
    <w:pitch w:val="variable"/>
  </w:font>
  <w:font w:name="Arial Black">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0"/>
      </w:pPr>
      <w:rPr>
        <w:rFonts w:ascii="Symbol" w:hAnsi="Symbol" w:cs="Symbol" w:hint="default"/>
        <w:sz w:val="18"/>
        <w:szCs w:val="16"/>
        <w:rFonts w:cs="Arial"/>
        <w:color w:val="000000"/>
      </w:rPr>
    </w:lvl>
    <w:lvl w:ilvl="1">
      <w:start w:val="1"/>
      <w:numFmt w:val="decimal"/>
      <w:lvlText w:val="%2."/>
      <w:lvlJc w:val="left"/>
      <w:pPr>
        <w:ind w:left="1080" w:hanging="0"/>
      </w:pPr>
    </w:lvl>
    <w:lvl w:ilvl="2">
      <w:start w:val="1"/>
      <w:numFmt w:val="decimal"/>
      <w:lvlText w:val="%3."/>
      <w:lvlJc w:val="left"/>
      <w:pPr>
        <w:ind w:left="1440" w:hanging="0"/>
      </w:pPr>
    </w:lvl>
    <w:lvl w:ilvl="3">
      <w:start w:val="1"/>
      <w:numFmt w:val="decimal"/>
      <w:lvlText w:val="%4."/>
      <w:lvlJc w:val="left"/>
      <w:pPr>
        <w:ind w:left="1800" w:hanging="0"/>
      </w:pPr>
    </w:lvl>
    <w:lvl w:ilvl="4">
      <w:start w:val="1"/>
      <w:numFmt w:val="decimal"/>
      <w:lvlText w:val="%5."/>
      <w:lvlJc w:val="left"/>
      <w:pPr>
        <w:ind w:left="2160" w:hanging="0"/>
      </w:pPr>
    </w:lvl>
    <w:lvl w:ilvl="5">
      <w:start w:val="1"/>
      <w:numFmt w:val="decimal"/>
      <w:lvlText w:val="%6."/>
      <w:lvlJc w:val="left"/>
      <w:pPr>
        <w:ind w:left="2520" w:hanging="0"/>
      </w:pPr>
    </w:lvl>
    <w:lvl w:ilvl="6">
      <w:start w:val="1"/>
      <w:numFmt w:val="decimal"/>
      <w:lvlText w:val="%7."/>
      <w:lvlJc w:val="left"/>
      <w:pPr>
        <w:ind w:left="2880" w:hanging="0"/>
      </w:pPr>
    </w:lvl>
    <w:lvl w:ilvl="7">
      <w:start w:val="1"/>
      <w:numFmt w:val="decimal"/>
      <w:lvlText w:val="%8."/>
      <w:lvlJc w:val="left"/>
      <w:pPr>
        <w:ind w:left="3240" w:hanging="0"/>
      </w:pPr>
    </w:lvl>
    <w:lvl w:ilvl="8">
      <w:start w:val="1"/>
      <w:numFmt w:val="decimal"/>
      <w:lvlText w:val="%9."/>
      <w:lvlJc w:val="left"/>
      <w:pPr>
        <w:ind w:left="3600" w:hanging="0"/>
      </w:pPr>
    </w:lvl>
  </w:abstractNum>
  <w:abstractNum w:abstractNumId="2">
    <w:lvl w:ilvl="0">
      <w:numFmt w:val="bullet"/>
      <w:lvlText w:val=""/>
      <w:lvlJc w:val="left"/>
      <w:pPr>
        <w:ind w:left="720" w:hanging="0"/>
      </w:pPr>
      <w:rPr>
        <w:rFonts w:ascii="Symbol" w:hAnsi="Symbol" w:cs="Symbol" w:hint="default"/>
        <w:sz w:val="18"/>
        <w:szCs w:val="16"/>
        <w:rFonts w:cs="Arial"/>
        <w:color w:val="000000"/>
      </w:rPr>
    </w:lvl>
    <w:lvl w:ilvl="1">
      <w:start w:val="1"/>
      <w:numFmt w:val="decimal"/>
      <w:lvlText w:val="%2."/>
      <w:lvlJc w:val="left"/>
      <w:pPr>
        <w:ind w:left="1080" w:hanging="0"/>
      </w:pPr>
    </w:lvl>
    <w:lvl w:ilvl="2">
      <w:start w:val="1"/>
      <w:numFmt w:val="decimal"/>
      <w:lvlText w:val="%3."/>
      <w:lvlJc w:val="left"/>
      <w:pPr>
        <w:ind w:left="1440" w:hanging="0"/>
      </w:pPr>
    </w:lvl>
    <w:lvl w:ilvl="3">
      <w:start w:val="1"/>
      <w:numFmt w:val="decimal"/>
      <w:lvlText w:val="%4."/>
      <w:lvlJc w:val="left"/>
      <w:pPr>
        <w:ind w:left="1800" w:hanging="0"/>
      </w:pPr>
    </w:lvl>
    <w:lvl w:ilvl="4">
      <w:start w:val="1"/>
      <w:numFmt w:val="decimal"/>
      <w:lvlText w:val="%5."/>
      <w:lvlJc w:val="left"/>
      <w:pPr>
        <w:ind w:left="2160" w:hanging="0"/>
      </w:pPr>
    </w:lvl>
    <w:lvl w:ilvl="5">
      <w:start w:val="1"/>
      <w:numFmt w:val="decimal"/>
      <w:lvlText w:val="%6."/>
      <w:lvlJc w:val="left"/>
      <w:pPr>
        <w:ind w:left="2520" w:hanging="0"/>
      </w:pPr>
    </w:lvl>
    <w:lvl w:ilvl="6">
      <w:start w:val="1"/>
      <w:numFmt w:val="decimal"/>
      <w:lvlText w:val="%7."/>
      <w:lvlJc w:val="left"/>
      <w:pPr>
        <w:ind w:left="2880" w:hanging="0"/>
      </w:pPr>
    </w:lvl>
    <w:lvl w:ilvl="7">
      <w:start w:val="1"/>
      <w:numFmt w:val="decimal"/>
      <w:lvlText w:val="%8."/>
      <w:lvlJc w:val="left"/>
      <w:pPr>
        <w:ind w:left="3240" w:hanging="0"/>
      </w:pPr>
    </w:lvl>
    <w:lvl w:ilvl="8">
      <w:start w:val="1"/>
      <w:numFmt w:val="decimal"/>
      <w:lvlText w:val="%9."/>
      <w:lvlJc w:val="left"/>
      <w:pPr>
        <w:ind w:left="360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de-DE"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kern w:val="2"/>
      <w:sz w:val="12"/>
      <w:szCs w:val="12"/>
      <w:lang w:bidi="ar-SA" w:val="de-DE" w:eastAsia="zh-CN"/>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Arial"/>
      <w:color w:val="000000"/>
      <w:sz w:val="16"/>
      <w:szCs w:val="16"/>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Arial"/>
    </w:rPr>
  </w:style>
  <w:style w:type="character" w:styleId="WW8Num3z2" w:customStyle="1">
    <w:name w:val="WW8Num3z2"/>
    <w:qFormat/>
    <w:rPr>
      <w:rFonts w:ascii="Wingdings" w:hAnsi="Wingdings" w:cs="Wingdings"/>
    </w:rPr>
  </w:style>
  <w:style w:type="character" w:styleId="Absatzstandardschriftart" w:customStyle="1">
    <w:name w:val="Absatzstandardschriftart"/>
    <w:qFormat/>
    <w:rPr/>
  </w:style>
  <w:style w:type="character" w:styleId="AbsatzStandardschriftart1" w:customStyle="1">
    <w:name w:val="Absatz-Standardschriftart1"/>
    <w:qFormat/>
    <w:rPr/>
  </w:style>
  <w:style w:type="character" w:styleId="Internetlink" w:customStyle="1">
    <w:name w:val="Internet link"/>
    <w:qFormat/>
    <w:rPr>
      <w:color w:val="0000FF"/>
      <w:u w:val="single"/>
    </w:rPr>
  </w:style>
  <w:style w:type="character" w:styleId="SprechblasentextZchn" w:customStyle="1">
    <w:name w:val="Sprechblasentext Zchn"/>
    <w:qFormat/>
    <w:rPr>
      <w:rFonts w:ascii="Tahoma" w:hAnsi="Tahoma" w:cs="Tahoma"/>
      <w:sz w:val="16"/>
      <w:szCs w:val="16"/>
    </w:rPr>
  </w:style>
  <w:style w:type="character" w:styleId="Internetverknpfung">
    <w:name w:val="Internetverknüpfung"/>
    <w:basedOn w:val="DefaultParagraphFont"/>
    <w:uiPriority w:val="99"/>
    <w:unhideWhenUsed/>
    <w:rsid w:val="006b3aed"/>
    <w:rPr>
      <w:color w:val="0563C1" w:themeColor="hyperlink"/>
      <w:u w:val="single"/>
    </w:rPr>
  </w:style>
  <w:style w:type="character" w:styleId="ListLabel1">
    <w:name w:val="ListLabel 1"/>
    <w:qFormat/>
    <w:rPr>
      <w:rFonts w:cs="Arial"/>
      <w:color w:val="000000"/>
      <w:sz w:val="18"/>
      <w:szCs w:val="16"/>
    </w:rPr>
  </w:style>
  <w:style w:type="character" w:styleId="ListLabel2">
    <w:name w:val="ListLabel 2"/>
    <w:qFormat/>
    <w:rPr>
      <w:rFonts w:cs="Arial"/>
      <w:color w:val="000000"/>
      <w:sz w:val="18"/>
      <w:szCs w:val="16"/>
    </w:rPr>
  </w:style>
  <w:style w:type="paragraph" w:styleId="Berschrift" w:customStyle="1">
    <w:name w:val="Überschrift"/>
    <w:basedOn w:val="Normal"/>
    <w:next w:val="Textkrper"/>
    <w:qFormat/>
    <w:pPr>
      <w:keepNext w:val="true"/>
      <w:spacing w:before="240" w:after="120"/>
    </w:pPr>
    <w:rPr>
      <w:rFonts w:ascii="Arial" w:hAnsi="Arial" w:eastAsia="MS Mincho" w:cs="Tahoma"/>
      <w:sz w:val="28"/>
      <w:szCs w:val="28"/>
    </w:rPr>
  </w:style>
  <w:style w:type="paragraph" w:styleId="Textkrper">
    <w:name w:val="Body Text"/>
    <w:basedOn w:val="Normal"/>
    <w:pPr>
      <w:spacing w:lineRule="auto" w:line="276" w:before="0" w:after="140"/>
    </w:pPr>
    <w:rPr/>
  </w:style>
  <w:style w:type="paragraph" w:styleId="Liste">
    <w:name w:val="List"/>
    <w:basedOn w:val="Textbody"/>
    <w:pPr/>
    <w:rPr>
      <w:rFonts w:cs="Tahoma"/>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Tahoma"/>
    </w:rPr>
  </w:style>
  <w:style w:type="paragraph" w:styleId="Textbody" w:customStyle="1">
    <w:name w:val="Text body"/>
    <w:basedOn w:val="Normal"/>
    <w:qFormat/>
    <w:pPr>
      <w:spacing w:before="0" w:after="120"/>
    </w:pPr>
    <w:rPr/>
  </w:style>
  <w:style w:type="paragraph" w:styleId="Caption">
    <w:name w:val="caption"/>
    <w:basedOn w:val="Normal"/>
    <w:qFormat/>
    <w:pPr>
      <w:suppressLineNumbers/>
      <w:spacing w:before="120" w:after="120"/>
    </w:pPr>
    <w:rPr>
      <w:rFonts w:cs="Mangal"/>
      <w:i/>
      <w:iCs/>
      <w:sz w:val="24"/>
      <w:szCs w:val="24"/>
    </w:rPr>
  </w:style>
  <w:style w:type="paragraph" w:styleId="Beschriftung1" w:customStyle="1">
    <w:name w:val="Beschriftung1"/>
    <w:basedOn w:val="Normal"/>
    <w:qFormat/>
    <w:pPr>
      <w:suppressLineNumbers/>
      <w:spacing w:before="120" w:after="120"/>
    </w:pPr>
    <w:rPr>
      <w:rFonts w:cs="Tahoma"/>
      <w:i/>
      <w:iCs/>
      <w:sz w:val="24"/>
      <w:szCs w:val="24"/>
    </w:rPr>
  </w:style>
  <w:style w:type="paragraph" w:styleId="BalloonText">
    <w:name w:val="Balloon Text"/>
    <w:basedOn w:val="Normal"/>
    <w:qFormat/>
    <w:pPr/>
    <w:rPr>
      <w:rFonts w:ascii="Tahoma" w:hAnsi="Tahoma" w:cs="Tahoma"/>
      <w:sz w:val="16"/>
      <w:szCs w:val="16"/>
    </w:rPr>
  </w:style>
  <w:style w:type="paragraph" w:styleId="Rahmeninhalt" w:customStyle="1">
    <w:name w:val="Rahmeninhalt"/>
    <w:basedOn w:val="Textbody"/>
    <w:qFormat/>
    <w:pPr/>
    <w:rPr/>
  </w:style>
  <w:style w:type="paragraph" w:styleId="ListParagraph">
    <w:name w:val="List Paragraph"/>
    <w:basedOn w:val="Normal"/>
    <w:qFormat/>
    <w:pPr>
      <w:ind w:left="708" w:hanging="0"/>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www.facebook.com/Tante-K&#228;the-Kickert-762653123880808/" TargetMode="External"/><Relationship Id="rId6" Type="http://schemas.openxmlformats.org/officeDocument/2006/relationships/hyperlink" Target="mailto:tkkg@tante-kaethe.com" TargetMode="External"/><Relationship Id="rId7" Type="http://schemas.openxmlformats.org/officeDocument/2006/relationships/hyperlink" Target="mailto:tkkg@tante-kaethe.com"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5329</TotalTime>
  <Application>LibreOffice/6.0.4.2$Windows_X86_64 LibreOffice_project/9b0d9b32d5dcda91d2f1a96dc04c645c450872bf</Application>
  <Pages>2</Pages>
  <Words>254</Words>
  <Characters>1685</Characters>
  <CharactersWithSpaces>2066</CharactersWithSpaces>
  <Paragraphs>29</Paragraphs>
  <Company>Deutscher Bundestag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2018-07-19T11:23:00Z</dcterms:created>
  <dc:creator>Administrator</dc:creator>
  <dc:description/>
  <dc:language>de-DE</dc:language>
  <cp:lastModifiedBy/>
  <cp:lastPrinted>2015-09-28T14:30:00Z</cp:lastPrinted>
  <dcterms:modified xsi:type="dcterms:W3CDTF">2018-08-29T03:44:07Z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Deutscher Bundestag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